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E2515B" w:rsidTr="00794CCE">
        <w:tc>
          <w:tcPr>
            <w:tcW w:w="743" w:type="dxa"/>
          </w:tcPr>
          <w:p w:rsidR="00E2515B" w:rsidRDefault="00E2515B" w:rsidP="00794CCE">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E2515B" w:rsidRDefault="00E2515B" w:rsidP="00794CCE">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E2515B" w:rsidRDefault="00E2515B" w:rsidP="00794CCE">
            <w:pPr>
              <w:rPr>
                <w:rFonts w:ascii="Arial" w:hAnsi="Arial" w:cs="FrankRuehl"/>
                <w:sz w:val="28"/>
                <w:szCs w:val="28"/>
                <w:highlight w:val="yellow"/>
              </w:rPr>
            </w:pPr>
          </w:p>
        </w:tc>
      </w:tr>
      <w:tr w:rsidR="00E2515B" w:rsidTr="00794CCE">
        <w:tc>
          <w:tcPr>
            <w:tcW w:w="3249" w:type="dxa"/>
            <w:gridSpan w:val="2"/>
          </w:tcPr>
          <w:p w:rsidR="00E2515B" w:rsidRDefault="00E2515B" w:rsidP="00794CCE">
            <w:pPr>
              <w:bidi w:val="0"/>
              <w:jc w:val="right"/>
              <w:rPr>
                <w:rFonts w:ascii="Arial" w:hAnsi="Arial"/>
                <w:b/>
                <w:bCs/>
                <w:noProof w:val="0"/>
                <w:sz w:val="26"/>
                <w:szCs w:val="26"/>
              </w:rPr>
            </w:pPr>
          </w:p>
          <w:sdt>
            <w:sdtPr>
              <w:alias w:val="1180"/>
              <w:tag w:val="1180"/>
              <w:id w:val="2064520869"/>
              <w:text w:multiLine="1"/>
            </w:sdtPr>
            <w:sdtEndPr/>
            <w:sdtContent>
              <w:p w:rsidR="00E2515B" w:rsidRDefault="00E2515B" w:rsidP="00794CCE">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E2515B" w:rsidRDefault="00E2515B" w:rsidP="00794CCE">
            <w:pPr>
              <w:rPr>
                <w:rFonts w:ascii="Arial" w:hAnsi="Arial"/>
                <w:b/>
                <w:bCs/>
                <w:noProof w:val="0"/>
                <w:sz w:val="26"/>
                <w:szCs w:val="26"/>
              </w:rPr>
            </w:pPr>
          </w:p>
          <w:p w:rsidR="00E2515B" w:rsidRDefault="006805ED" w:rsidP="00794CCE">
            <w:pPr>
              <w:rPr>
                <w:b/>
                <w:bCs/>
                <w:noProof w:val="0"/>
                <w:sz w:val="26"/>
                <w:szCs w:val="26"/>
                <w:rtl/>
              </w:rPr>
            </w:pPr>
            <w:r>
              <w:rPr>
                <w:rFonts w:ascii="Arial" w:hAnsi="Arial" w:hint="cs"/>
                <w:b/>
                <w:bCs/>
                <w:noProof w:val="0"/>
                <w:sz w:val="26"/>
                <w:szCs w:val="26"/>
                <w:rtl/>
              </w:rPr>
              <w:t>פלונית</w:t>
            </w:r>
          </w:p>
        </w:tc>
      </w:tr>
      <w:tr w:rsidR="00E2515B" w:rsidTr="00794CCE">
        <w:tc>
          <w:tcPr>
            <w:tcW w:w="8820" w:type="dxa"/>
            <w:gridSpan w:val="3"/>
          </w:tcPr>
          <w:p w:rsidR="00E2515B" w:rsidRDefault="00E2515B" w:rsidP="00794CCE">
            <w:pPr>
              <w:rPr>
                <w:rFonts w:ascii="Arial" w:hAnsi="Arial"/>
                <w:b/>
                <w:bCs/>
                <w:noProof w:val="0"/>
                <w:sz w:val="26"/>
                <w:szCs w:val="26"/>
                <w:rtl/>
              </w:rPr>
            </w:pPr>
          </w:p>
          <w:p w:rsidR="00E2515B" w:rsidRDefault="00E2515B" w:rsidP="00794CCE">
            <w:pPr>
              <w:jc w:val="center"/>
              <w:rPr>
                <w:rFonts w:ascii="Arial" w:hAnsi="Arial"/>
                <w:b/>
                <w:bCs/>
                <w:noProof w:val="0"/>
                <w:sz w:val="26"/>
                <w:szCs w:val="26"/>
                <w:rtl/>
              </w:rPr>
            </w:pPr>
            <w:r>
              <w:rPr>
                <w:rFonts w:ascii="Arial" w:hAnsi="Arial"/>
                <w:b/>
                <w:bCs/>
                <w:noProof w:val="0"/>
                <w:sz w:val="26"/>
                <w:szCs w:val="26"/>
                <w:rtl/>
              </w:rPr>
              <w:t>נגד</w:t>
            </w:r>
          </w:p>
          <w:p w:rsidR="00E2515B" w:rsidRDefault="00E2515B" w:rsidP="00794CCE">
            <w:pPr>
              <w:rPr>
                <w:rFonts w:ascii="Arial" w:hAnsi="Arial"/>
                <w:b/>
                <w:bCs/>
                <w:noProof w:val="0"/>
                <w:sz w:val="26"/>
                <w:szCs w:val="26"/>
              </w:rPr>
            </w:pPr>
          </w:p>
        </w:tc>
      </w:tr>
      <w:tr w:rsidR="00E2515B" w:rsidTr="00794CCE">
        <w:tc>
          <w:tcPr>
            <w:tcW w:w="3249" w:type="dxa"/>
            <w:gridSpan w:val="2"/>
          </w:tcPr>
          <w:p w:rsidR="00E2515B" w:rsidRDefault="00E2515B" w:rsidP="00794CCE">
            <w:pPr>
              <w:rPr>
                <w:rFonts w:ascii="Arial" w:hAnsi="Arial"/>
                <w:b/>
                <w:bCs/>
                <w:noProof w:val="0"/>
                <w:sz w:val="26"/>
                <w:szCs w:val="26"/>
                <w:rtl/>
              </w:rPr>
            </w:pPr>
          </w:p>
          <w:p w:rsidR="00E2515B" w:rsidRDefault="00C31177" w:rsidP="00794CCE">
            <w:pPr>
              <w:rPr>
                <w:rFonts w:ascii="Arial" w:hAnsi="Arial"/>
                <w:b/>
                <w:bCs/>
                <w:noProof w:val="0"/>
                <w:sz w:val="26"/>
                <w:szCs w:val="26"/>
              </w:rPr>
            </w:pPr>
            <w:sdt>
              <w:sdtPr>
                <w:rPr>
                  <w:rtl/>
                </w:rPr>
                <w:alias w:val="1184"/>
                <w:tag w:val="1184"/>
                <w:id w:val="385841288"/>
                <w:text w:multiLine="1"/>
              </w:sdtPr>
              <w:sdtEndPr/>
              <w:sdtContent>
                <w:r w:rsidR="00E2515B">
                  <w:rPr>
                    <w:rFonts w:ascii="Arial" w:hAnsi="Arial"/>
                    <w:b/>
                    <w:bCs/>
                    <w:noProof w:val="0"/>
                    <w:sz w:val="26"/>
                    <w:szCs w:val="26"/>
                    <w:rtl/>
                  </w:rPr>
                  <w:t>נתבע</w:t>
                </w:r>
              </w:sdtContent>
            </w:sdt>
          </w:p>
        </w:tc>
        <w:tc>
          <w:tcPr>
            <w:tcW w:w="5571" w:type="dxa"/>
          </w:tcPr>
          <w:p w:rsidR="00E2515B" w:rsidRDefault="00E2515B" w:rsidP="00794CCE">
            <w:pPr>
              <w:rPr>
                <w:rFonts w:ascii="Arial" w:hAnsi="Arial"/>
                <w:b/>
                <w:bCs/>
                <w:noProof w:val="0"/>
                <w:sz w:val="26"/>
                <w:szCs w:val="26"/>
                <w:rtl/>
              </w:rPr>
            </w:pPr>
          </w:p>
          <w:p w:rsidR="00E2515B" w:rsidRDefault="006805ED" w:rsidP="00794CCE">
            <w:pPr>
              <w:rPr>
                <w:b/>
                <w:bCs/>
                <w:noProof w:val="0"/>
                <w:sz w:val="26"/>
                <w:szCs w:val="26"/>
                <w:rtl/>
              </w:rPr>
            </w:pPr>
            <w:r>
              <w:rPr>
                <w:rFonts w:ascii="Arial" w:hAnsi="Arial" w:hint="cs"/>
                <w:b/>
                <w:bCs/>
                <w:noProof w:val="0"/>
                <w:sz w:val="26"/>
                <w:szCs w:val="26"/>
                <w:rtl/>
              </w:rPr>
              <w:t>פלוני</w:t>
            </w:r>
          </w:p>
        </w:tc>
      </w:tr>
      <w:tr w:rsidR="00E2515B" w:rsidTr="00794CCE">
        <w:tc>
          <w:tcPr>
            <w:tcW w:w="8820" w:type="dxa"/>
            <w:gridSpan w:val="3"/>
          </w:tcPr>
          <w:p w:rsidR="00E2515B" w:rsidRDefault="00E2515B" w:rsidP="00794CCE">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2515B" w:rsidRPr="009D0F83" w:rsidTr="00794CCE">
        <w:trPr>
          <w:jc w:val="center"/>
        </w:trPr>
        <w:tc>
          <w:tcPr>
            <w:tcW w:w="8820" w:type="dxa"/>
          </w:tcPr>
          <w:p w:rsidR="00E2515B" w:rsidRPr="009D0F83" w:rsidRDefault="00E2515B" w:rsidP="00794CCE">
            <w:pPr>
              <w:bidi w:val="0"/>
              <w:jc w:val="center"/>
              <w:rPr>
                <w:rFonts w:ascii="Arial" w:hAnsi="Arial"/>
                <w:b/>
                <w:bCs/>
                <w:i/>
                <w:iCs/>
                <w:noProof w:val="0"/>
                <w:sz w:val="36"/>
                <w:szCs w:val="36"/>
              </w:rPr>
            </w:pPr>
          </w:p>
          <w:p w:rsidR="00E2515B" w:rsidRDefault="00E2515B" w:rsidP="00794CCE">
            <w:pPr>
              <w:bidi w:val="0"/>
              <w:jc w:val="center"/>
              <w:rPr>
                <w:rFonts w:ascii="Arial" w:hAnsi="Arial"/>
                <w:b/>
                <w:bCs/>
                <w:i/>
                <w:iCs/>
                <w:noProof w:val="0"/>
                <w:sz w:val="36"/>
                <w:szCs w:val="36"/>
                <w:u w:val="single"/>
                <w:rtl/>
              </w:rPr>
            </w:pPr>
            <w:r w:rsidRPr="009D0F83">
              <w:rPr>
                <w:rFonts w:ascii="Arial" w:hAnsi="Arial" w:hint="cs"/>
                <w:b/>
                <w:bCs/>
                <w:i/>
                <w:iCs/>
                <w:noProof w:val="0"/>
                <w:sz w:val="36"/>
                <w:szCs w:val="36"/>
                <w:u w:val="single"/>
                <w:rtl/>
              </w:rPr>
              <w:t>החלטה</w:t>
            </w:r>
          </w:p>
          <w:p w:rsidR="00E2515B" w:rsidRPr="009D0F83" w:rsidRDefault="00E2515B" w:rsidP="00794CCE">
            <w:pPr>
              <w:bidi w:val="0"/>
              <w:jc w:val="center"/>
              <w:rPr>
                <w:rFonts w:ascii="Arial" w:hAnsi="Arial"/>
                <w:b/>
                <w:bCs/>
                <w:i/>
                <w:iCs/>
                <w:noProof w:val="0"/>
                <w:sz w:val="36"/>
                <w:szCs w:val="36"/>
                <w:u w:val="single"/>
              </w:rPr>
            </w:pPr>
          </w:p>
        </w:tc>
      </w:tr>
    </w:tbl>
    <w:p w:rsidR="00E2515B" w:rsidRDefault="00E2515B" w:rsidP="00E2515B">
      <w:pPr>
        <w:spacing w:line="360" w:lineRule="auto"/>
        <w:jc w:val="both"/>
        <w:rPr>
          <w:rFonts w:ascii="David" w:hAnsi="David"/>
        </w:rPr>
      </w:pPr>
      <w:r>
        <w:rPr>
          <w:rFonts w:ascii="David" w:hAnsi="David"/>
          <w:rtl/>
        </w:rPr>
        <w:t xml:space="preserve">לפניי בקשה לסילוק התובענה על הסף (להלן: </w:t>
      </w:r>
      <w:r>
        <w:rPr>
          <w:rFonts w:ascii="David" w:hAnsi="David"/>
          <w:b/>
          <w:bCs/>
          <w:rtl/>
        </w:rPr>
        <w:t>"הבקשה"</w:t>
      </w:r>
      <w:r>
        <w:rPr>
          <w:rFonts w:ascii="David" w:hAnsi="David"/>
          <w:rtl/>
        </w:rPr>
        <w:t xml:space="preserve">). </w:t>
      </w:r>
    </w:p>
    <w:p w:rsidR="00E2515B" w:rsidRDefault="00E2515B" w:rsidP="00E2515B">
      <w:pPr>
        <w:spacing w:line="360" w:lineRule="auto"/>
        <w:jc w:val="both"/>
        <w:rPr>
          <w:rFonts w:ascii="David" w:hAnsi="David"/>
          <w:rtl/>
        </w:rPr>
      </w:pPr>
    </w:p>
    <w:p w:rsidR="00E2515B" w:rsidRDefault="00E2515B" w:rsidP="00E2515B">
      <w:pPr>
        <w:spacing w:line="360" w:lineRule="auto"/>
        <w:jc w:val="both"/>
        <w:rPr>
          <w:rFonts w:ascii="David" w:hAnsi="David"/>
          <w:b/>
          <w:bCs/>
          <w:u w:val="single"/>
          <w:rtl/>
        </w:rPr>
      </w:pPr>
      <w:r>
        <w:rPr>
          <w:rFonts w:ascii="David" w:hAnsi="David"/>
          <w:b/>
          <w:bCs/>
          <w:u w:val="single"/>
          <w:rtl/>
        </w:rPr>
        <w:t>רקע עובדתי רלוונטי</w:t>
      </w:r>
    </w:p>
    <w:p w:rsidR="00E2515B" w:rsidRDefault="00E2515B" w:rsidP="00E2515B">
      <w:pPr>
        <w:spacing w:line="360" w:lineRule="auto"/>
        <w:jc w:val="both"/>
        <w:rPr>
          <w:rFonts w:ascii="David" w:hAnsi="David"/>
          <w:rtl/>
        </w:rPr>
      </w:pPr>
    </w:p>
    <w:p w:rsidR="00E2515B" w:rsidRDefault="00E2515B" w:rsidP="00E2515B">
      <w:pPr>
        <w:pStyle w:val="aa"/>
        <w:numPr>
          <w:ilvl w:val="0"/>
          <w:numId w:val="1"/>
        </w:numPr>
        <w:spacing w:line="360" w:lineRule="auto"/>
        <w:jc w:val="both"/>
        <w:rPr>
          <w:rFonts w:ascii="David" w:hAnsi="David"/>
          <w:rtl/>
        </w:rPr>
      </w:pPr>
      <w:r>
        <w:rPr>
          <w:rFonts w:ascii="David" w:hAnsi="David"/>
          <w:rtl/>
        </w:rPr>
        <w:t>התובעת הינה בתם המשותפת של המנוחה והנתבע.</w:t>
      </w:r>
    </w:p>
    <w:p w:rsidR="00E2515B" w:rsidRDefault="00E2515B" w:rsidP="00E2515B">
      <w:pPr>
        <w:pStyle w:val="aa"/>
        <w:spacing w:line="360" w:lineRule="auto"/>
        <w:ind w:left="360"/>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המנוחה והנתבע (להלן: </w:t>
      </w:r>
      <w:r>
        <w:rPr>
          <w:rFonts w:ascii="David" w:hAnsi="David"/>
          <w:b/>
          <w:bCs/>
          <w:rtl/>
        </w:rPr>
        <w:t>"בני הזוג"</w:t>
      </w:r>
      <w:r>
        <w:rPr>
          <w:rFonts w:ascii="David" w:hAnsi="David"/>
          <w:rtl/>
        </w:rPr>
        <w:t>) נישאו בשנת 1966.</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כנובע מקשר הנישואין של בני הזוג נולדו ארבעה ילדים – כולם בגירים.</w:t>
      </w:r>
    </w:p>
    <w:p w:rsidR="00E2515B" w:rsidRDefault="00E2515B" w:rsidP="00E2515B">
      <w:pPr>
        <w:pStyle w:val="aa"/>
        <w:spacing w:line="360" w:lineRule="auto"/>
        <w:jc w:val="both"/>
        <w:rPr>
          <w:rFonts w:ascii="David" w:hAnsi="David"/>
        </w:rPr>
      </w:pPr>
    </w:p>
    <w:p w:rsidR="00E2515B" w:rsidRDefault="00E2515B" w:rsidP="005A6ADF">
      <w:pPr>
        <w:pStyle w:val="aa"/>
        <w:numPr>
          <w:ilvl w:val="0"/>
          <w:numId w:val="1"/>
        </w:numPr>
        <w:spacing w:line="360" w:lineRule="auto"/>
        <w:jc w:val="both"/>
        <w:rPr>
          <w:rFonts w:ascii="David" w:hAnsi="David"/>
          <w:rtl/>
        </w:rPr>
      </w:pPr>
      <w:r>
        <w:rPr>
          <w:rFonts w:ascii="David" w:hAnsi="David"/>
          <w:rtl/>
        </w:rPr>
        <w:t xml:space="preserve">המנוחה נפטרה ביום </w:t>
      </w:r>
      <w:r w:rsidR="005A6ADF">
        <w:rPr>
          <w:rFonts w:ascii="David" w:hAnsi="David" w:hint="cs"/>
          <w:rtl/>
        </w:rPr>
        <w:t>00</w:t>
      </w:r>
      <w:r>
        <w:rPr>
          <w:rFonts w:ascii="David" w:hAnsi="David"/>
          <w:rtl/>
        </w:rPr>
        <w:t>.</w:t>
      </w:r>
      <w:r w:rsidR="005A6ADF">
        <w:rPr>
          <w:rFonts w:ascii="David" w:hAnsi="David" w:hint="cs"/>
          <w:rtl/>
        </w:rPr>
        <w:t>00</w:t>
      </w:r>
      <w:r>
        <w:rPr>
          <w:rFonts w:ascii="David" w:hAnsi="David"/>
          <w:rtl/>
        </w:rPr>
        <w:t>.23 בעודה נשואה לנתבע ולאחר פטירתה הגישה התובעת תביעה רכושית במסגרתה עתרה, בין היתר, לקבוע את מצבת נכסי בני הזוג ולקבוע כי לעזבון המנוחה זכויות במחצית מכלל הרכוש.</w:t>
      </w:r>
    </w:p>
    <w:p w:rsidR="00E2515B" w:rsidRDefault="00E2515B" w:rsidP="00E2515B">
      <w:pPr>
        <w:pStyle w:val="aa"/>
        <w:spacing w:line="360" w:lineRule="auto"/>
        <w:jc w:val="both"/>
        <w:rPr>
          <w:rFonts w:ascii="David" w:hAnsi="David"/>
        </w:rPr>
      </w:pPr>
    </w:p>
    <w:p w:rsidR="00E2515B" w:rsidRDefault="00E2515B" w:rsidP="00E2515B">
      <w:pPr>
        <w:spacing w:line="360" w:lineRule="auto"/>
        <w:jc w:val="both"/>
        <w:rPr>
          <w:rFonts w:ascii="David" w:hAnsi="David"/>
          <w:b/>
          <w:bCs/>
          <w:u w:val="single"/>
          <w:rtl/>
        </w:rPr>
      </w:pPr>
      <w:r>
        <w:rPr>
          <w:rFonts w:ascii="David" w:hAnsi="David"/>
          <w:b/>
          <w:bCs/>
          <w:u w:val="single"/>
          <w:rtl/>
        </w:rPr>
        <w:t xml:space="preserve">הבקשה </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במסגרת הבקשה, עתר הנתבע לסלק את התביעה על הסף מחמת מספר עילות כפי שיפורט להלן.</w:t>
      </w:r>
    </w:p>
    <w:p w:rsidR="00E2515B" w:rsidRDefault="00E2515B" w:rsidP="00E2515B">
      <w:pPr>
        <w:pStyle w:val="aa"/>
        <w:spacing w:line="360" w:lineRule="auto"/>
        <w:ind w:left="360"/>
        <w:jc w:val="both"/>
        <w:rPr>
          <w:rFonts w:ascii="David" w:hAnsi="David"/>
        </w:rPr>
      </w:pPr>
    </w:p>
    <w:p w:rsidR="00E2515B" w:rsidRDefault="00E2515B" w:rsidP="00E2515B">
      <w:pPr>
        <w:pStyle w:val="aa"/>
        <w:numPr>
          <w:ilvl w:val="0"/>
          <w:numId w:val="1"/>
        </w:numPr>
        <w:spacing w:line="360" w:lineRule="auto"/>
        <w:jc w:val="both"/>
        <w:rPr>
          <w:rFonts w:ascii="David" w:hAnsi="David"/>
        </w:rPr>
      </w:pPr>
      <w:r>
        <w:rPr>
          <w:rFonts w:ascii="David" w:hAnsi="David"/>
          <w:rtl/>
        </w:rPr>
        <w:t>בבסיס הבקשה נטען, בין היתר, כי בין בני הזוג התנהלו מספר הליכים משפטיים בבית הדין הרבני והנתבע אף חויב במזונות המנוחה וכי בני הזוג נפרדו לפני כ-36 שנים עת עזב הנתבע את הדירה המשותפת ובתקופה זו בני הזוג חיו בפירוד מוחלט.</w:t>
      </w:r>
    </w:p>
    <w:p w:rsidR="00E2515B" w:rsidRDefault="00E2515B" w:rsidP="00E2515B">
      <w:pPr>
        <w:pStyle w:val="aa"/>
        <w:spacing w:line="360" w:lineRule="auto"/>
        <w:jc w:val="both"/>
        <w:rPr>
          <w:rFonts w:ascii="David" w:hAnsi="David"/>
        </w:rPr>
      </w:pPr>
    </w:p>
    <w:p w:rsidR="00E2515B" w:rsidRDefault="00E2515B" w:rsidP="00E2515B">
      <w:pPr>
        <w:spacing w:line="360" w:lineRule="auto"/>
        <w:jc w:val="both"/>
        <w:rPr>
          <w:rFonts w:ascii="David" w:hAnsi="David"/>
          <w:b/>
          <w:bCs/>
          <w:u w:val="single"/>
          <w:rtl/>
        </w:rPr>
      </w:pPr>
      <w:r>
        <w:rPr>
          <w:rFonts w:ascii="David" w:hAnsi="David"/>
          <w:b/>
          <w:bCs/>
          <w:u w:val="single"/>
          <w:rtl/>
        </w:rPr>
        <w:lastRenderedPageBreak/>
        <w:t>הכרעה</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לאחר עיון בבקשה ובכתב התביעה, הגעתי למסקנה כי דין הבקשה להידחות ללא צורך בקבלת תשובת התובעת מכוח סמכותי על-פי תקנה 50 (2) לתקנות סדר הדין האזרחי, התשע"ט–2018.</w:t>
      </w:r>
    </w:p>
    <w:p w:rsidR="00E2515B" w:rsidRDefault="00E2515B" w:rsidP="00E2515B">
      <w:pPr>
        <w:pStyle w:val="aa"/>
        <w:spacing w:line="360" w:lineRule="auto"/>
        <w:ind w:left="360"/>
        <w:jc w:val="both"/>
        <w:rPr>
          <w:rFonts w:ascii="David" w:hAnsi="David"/>
        </w:rPr>
      </w:pPr>
    </w:p>
    <w:p w:rsidR="00E2515B" w:rsidRDefault="00E2515B" w:rsidP="00E2515B">
      <w:pPr>
        <w:spacing w:line="360" w:lineRule="auto"/>
        <w:jc w:val="both"/>
        <w:rPr>
          <w:rFonts w:ascii="David" w:hAnsi="David"/>
          <w:u w:val="single"/>
        </w:rPr>
      </w:pPr>
      <w:r>
        <w:rPr>
          <w:rFonts w:ascii="David" w:hAnsi="David"/>
          <w:u w:val="single"/>
          <w:rtl/>
        </w:rPr>
        <w:t>העדר סמכות בית המשפט לנוכח סמכותו הייחודית של בית הדין הרבני</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לטענת הנתבע נוכח תביעת הגירושין הכרוכה שהגיש לבית הדין, במסגרתה אף ניתנה החלטה בעניין הזכויות הסוציאליות והוטל עיקול זמני, הסמכות הייחודית לדון בהליך הרכושי מסורה לבית הדין הרבני. </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דין הטענה להידחות. על-פי הפסיקה, סמכותו הנמשכת של בית הדין הרבני לדון בנושאים שנכרכו כדין בתביעת גירושין, כוחה יפה כל עוד בית הדין דן בתביעת הגירושין </w:t>
      </w:r>
      <w:r>
        <w:rPr>
          <w:rFonts w:ascii="David" w:hAnsi="David"/>
          <w:b/>
          <w:bCs/>
          <w:rtl/>
        </w:rPr>
        <w:t>ראו</w:t>
      </w:r>
      <w:r>
        <w:rPr>
          <w:rFonts w:ascii="David" w:hAnsi="David"/>
          <w:rtl/>
        </w:rPr>
        <w:t>:</w:t>
      </w:r>
      <w:r>
        <w:rPr>
          <w:rFonts w:ascii="David" w:hAnsi="David"/>
          <w:b/>
          <w:bCs/>
          <w:noProof w:val="0"/>
          <w:rtl/>
        </w:rPr>
        <w:t xml:space="preserve"> </w:t>
      </w:r>
      <w:r>
        <w:rPr>
          <w:rFonts w:ascii="David" w:hAnsi="David"/>
          <w:noProof w:val="0"/>
          <w:rtl/>
        </w:rPr>
        <w:t>תמ"ש 35282-06-13</w:t>
      </w:r>
      <w:r>
        <w:rPr>
          <w:rFonts w:ascii="David" w:hAnsi="David"/>
          <w:rtl/>
        </w:rPr>
        <w:t xml:space="preserve"> </w:t>
      </w:r>
      <w:r>
        <w:rPr>
          <w:rFonts w:ascii="David" w:hAnsi="David"/>
          <w:b/>
          <w:bCs/>
          <w:rtl/>
        </w:rPr>
        <w:t>פלונית נ' פלוני</w:t>
      </w:r>
      <w:r>
        <w:rPr>
          <w:rFonts w:ascii="David" w:hAnsi="David"/>
          <w:rtl/>
        </w:rPr>
        <w:t xml:space="preserve"> (25.6.2014) וההפניות שם.</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במקרה שלפניי, לאחר פטירת המנוחה לא יכול עוד בית הדין לדון בתביעת הגירושין, ומשכך אין לו סמכות נמשכת לדון בתביעה רכושית בין בני הזוג.</w:t>
      </w:r>
    </w:p>
    <w:p w:rsidR="00E2515B" w:rsidRDefault="00E2515B" w:rsidP="00E2515B">
      <w:pPr>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לאור האמור הטענה נדחית.</w:t>
      </w:r>
    </w:p>
    <w:p w:rsidR="00E2515B" w:rsidRDefault="00E2515B" w:rsidP="00E2515B">
      <w:pPr>
        <w:pStyle w:val="aa"/>
        <w:spacing w:line="360" w:lineRule="auto"/>
        <w:jc w:val="both"/>
        <w:rPr>
          <w:rFonts w:ascii="David" w:hAnsi="David"/>
        </w:rPr>
      </w:pPr>
    </w:p>
    <w:p w:rsidR="00E2515B" w:rsidRDefault="00E2515B" w:rsidP="00E2515B">
      <w:pPr>
        <w:spacing w:line="360" w:lineRule="auto"/>
        <w:jc w:val="both"/>
        <w:rPr>
          <w:rFonts w:ascii="David" w:hAnsi="David"/>
          <w:u w:val="single"/>
          <w:rtl/>
        </w:rPr>
      </w:pPr>
      <w:r>
        <w:rPr>
          <w:rFonts w:ascii="David" w:hAnsi="David"/>
          <w:u w:val="single"/>
          <w:rtl/>
        </w:rPr>
        <w:t>התיישנות</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לטענת הנתבע התביעה התיישנה לנוכח העובדה כי המועד הקרע בין בני הזוג הינו בשנת 1980, דהיינו לפני 43 שנה.</w:t>
      </w:r>
    </w:p>
    <w:p w:rsidR="00E2515B" w:rsidRDefault="00E2515B" w:rsidP="00E2515B">
      <w:pPr>
        <w:pStyle w:val="aa"/>
        <w:spacing w:line="360" w:lineRule="auto"/>
        <w:ind w:left="360"/>
        <w:jc w:val="both"/>
        <w:rPr>
          <w:rFonts w:ascii="David" w:hAnsi="David"/>
        </w:rPr>
      </w:pPr>
    </w:p>
    <w:p w:rsidR="00E2515B" w:rsidRDefault="00E2515B" w:rsidP="00E2515B">
      <w:pPr>
        <w:pStyle w:val="aa"/>
        <w:numPr>
          <w:ilvl w:val="0"/>
          <w:numId w:val="1"/>
        </w:numPr>
        <w:spacing w:line="360" w:lineRule="auto"/>
        <w:jc w:val="both"/>
        <w:rPr>
          <w:rFonts w:ascii="David" w:hAnsi="David"/>
        </w:rPr>
      </w:pPr>
      <w:r>
        <w:rPr>
          <w:rFonts w:ascii="David" w:hAnsi="David"/>
          <w:rtl/>
        </w:rPr>
        <w:t xml:space="preserve">דין הטענה להידחות. על-פי הפסיקה, </w:t>
      </w:r>
      <w:r>
        <w:rPr>
          <w:rFonts w:ascii="David" w:hAnsi="David"/>
          <w:noProof w:val="0"/>
          <w:rtl/>
        </w:rPr>
        <w:t xml:space="preserve">עילת התביעה בתביעת יורשים שמהותה הכרה בזכויות מנוחה מכוח חזקת השיתוף בנכסים בין בני זוג, באה לעולם עם פטירת המנוחה כפי שטענה התובעת במסגרת </w:t>
      </w:r>
      <w:r>
        <w:rPr>
          <w:rFonts w:ascii="David" w:hAnsi="David"/>
          <w:b/>
          <w:bCs/>
          <w:noProof w:val="0"/>
          <w:rtl/>
        </w:rPr>
        <w:t>סעיפים 9 ו-17 לכתב התביעה</w:t>
      </w:r>
      <w:r>
        <w:rPr>
          <w:rFonts w:ascii="David" w:hAnsi="David"/>
          <w:noProof w:val="0"/>
          <w:rtl/>
        </w:rPr>
        <w:t xml:space="preserve"> וממועד זה מתחיל מרוץ ההתיישנות</w:t>
      </w:r>
      <w:r>
        <w:rPr>
          <w:rFonts w:ascii="David" w:hAnsi="David"/>
          <w:rtl/>
        </w:rPr>
        <w:t xml:space="preserve"> </w:t>
      </w:r>
      <w:r>
        <w:rPr>
          <w:rFonts w:ascii="David" w:hAnsi="David"/>
          <w:b/>
          <w:bCs/>
          <w:rtl/>
        </w:rPr>
        <w:t>ראו</w:t>
      </w:r>
      <w:r>
        <w:rPr>
          <w:rFonts w:ascii="David" w:hAnsi="David"/>
          <w:rtl/>
        </w:rPr>
        <w:t xml:space="preserve">: </w:t>
      </w:r>
      <w:r>
        <w:rPr>
          <w:rFonts w:ascii="David" w:hAnsi="David"/>
          <w:noProof w:val="0"/>
          <w:rtl/>
        </w:rPr>
        <w:t xml:space="preserve">תמ"ש 46149-10-13 </w:t>
      </w:r>
      <w:r>
        <w:rPr>
          <w:rFonts w:ascii="David" w:hAnsi="David"/>
          <w:b/>
          <w:bCs/>
          <w:noProof w:val="0"/>
          <w:rtl/>
        </w:rPr>
        <w:t>ג' נ' ג'</w:t>
      </w:r>
      <w:r>
        <w:rPr>
          <w:rFonts w:ascii="David" w:hAnsi="David"/>
          <w:noProof w:val="0"/>
          <w:rtl/>
        </w:rPr>
        <w:t xml:space="preserve"> </w:t>
      </w:r>
      <w:r>
        <w:rPr>
          <w:rFonts w:ascii="David" w:hAnsi="David"/>
          <w:rtl/>
        </w:rPr>
        <w:t>(18.5.2014).</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הנתבע הפנה לפסק דין שניתן בתמ"ש 8265-07-16 </w:t>
      </w:r>
      <w:r>
        <w:rPr>
          <w:rFonts w:ascii="David" w:hAnsi="David"/>
          <w:b/>
          <w:bCs/>
          <w:rtl/>
        </w:rPr>
        <w:t>ר. נ' ב.</w:t>
      </w:r>
      <w:r>
        <w:rPr>
          <w:rFonts w:ascii="David" w:hAnsi="David"/>
          <w:rtl/>
        </w:rPr>
        <w:t xml:space="preserve"> (2.10.2022) וביקש להקיש מפסק </w:t>
      </w:r>
      <w:r w:rsidR="00996A93">
        <w:rPr>
          <w:rFonts w:ascii="David" w:hAnsi="David" w:hint="cs"/>
          <w:rtl/>
        </w:rPr>
        <w:t>ה</w:t>
      </w:r>
      <w:r>
        <w:rPr>
          <w:rFonts w:ascii="David" w:hAnsi="David"/>
          <w:rtl/>
        </w:rPr>
        <w:t>דין למקרה שלפניי ואולם בפרשה זו ההליך נדון לגופו והסתיים בפסק דין והתביעה לא סולקה על הסף.</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lastRenderedPageBreak/>
        <w:t xml:space="preserve">עוד טען הנתבע כי הזכות לשיתוף בין בני זוג קמה במועד הקרע תוך שהוא מפנה לתמ"ש 15594-04-15 </w:t>
      </w:r>
      <w:r>
        <w:rPr>
          <w:rFonts w:ascii="David" w:hAnsi="David"/>
          <w:b/>
          <w:bCs/>
          <w:rtl/>
        </w:rPr>
        <w:t xml:space="preserve">ש.א. נ' ד.י.א. </w:t>
      </w:r>
      <w:r>
        <w:rPr>
          <w:rFonts w:ascii="David" w:hAnsi="David"/>
          <w:rtl/>
        </w:rPr>
        <w:t>(31.7.2019) (להלן: "</w:t>
      </w:r>
      <w:r>
        <w:rPr>
          <w:rFonts w:ascii="David" w:hAnsi="David"/>
          <w:b/>
          <w:bCs/>
          <w:rtl/>
        </w:rPr>
        <w:t>תמ"ש 15594-04-15</w:t>
      </w:r>
      <w:r>
        <w:rPr>
          <w:rFonts w:ascii="David" w:hAnsi="David"/>
          <w:rtl/>
        </w:rPr>
        <w:t xml:space="preserve">") ואולם בפסק דין זה נקבע, בין היתר, כי </w:t>
      </w:r>
      <w:r>
        <w:rPr>
          <w:rFonts w:ascii="David" w:hAnsi="David"/>
          <w:i/>
          <w:iCs/>
          <w:rtl/>
        </w:rPr>
        <w:t>"</w:t>
      </w:r>
      <w:r>
        <w:rPr>
          <w:rFonts w:ascii="David" w:hAnsi="David"/>
          <w:i/>
          <w:iCs/>
          <w:noProof w:val="0"/>
          <w:rtl/>
        </w:rPr>
        <w:t xml:space="preserve">לעניין עילת התביעה, משמדובר בבני זוג נשואים שחל עליהם </w:t>
      </w:r>
      <w:r>
        <w:rPr>
          <w:rFonts w:ascii="David" w:hAnsi="David"/>
          <w:i/>
          <w:iCs/>
          <w:noProof w:val="0"/>
          <w:u w:val="single"/>
          <w:rtl/>
        </w:rPr>
        <w:t>חוק יחסי ממון</w:t>
      </w:r>
      <w:r>
        <w:rPr>
          <w:rFonts w:ascii="David" w:hAnsi="David"/>
          <w:i/>
          <w:iCs/>
          <w:noProof w:val="0"/>
          <w:rtl/>
        </w:rPr>
        <w:t>, הולדתה של הזכות לאיזון משאבים היא במועד הקרע – וזהו המועד ממנו יש לבחון את מניין התקופה להתיישנות</w:t>
      </w:r>
      <w:r>
        <w:rPr>
          <w:rFonts w:ascii="David" w:hAnsi="David"/>
          <w:noProof w:val="0"/>
          <w:rtl/>
        </w:rPr>
        <w:t>" [ההדגשה לא במקור – פ"ג]</w:t>
      </w:r>
      <w:r>
        <w:rPr>
          <w:rFonts w:ascii="David" w:hAnsi="David"/>
          <w:rtl/>
        </w:rPr>
        <w:t>. במקרה שלפניי עסקינן בבני זוג שחלה לגביהם חזקת השיתוף כך שאין להקיש מפסק דין זה למקרה שלפניי.</w:t>
      </w:r>
    </w:p>
    <w:p w:rsidR="00E2515B" w:rsidRDefault="00E2515B" w:rsidP="00E2515B">
      <w:pPr>
        <w:pStyle w:val="aa"/>
        <w:spacing w:line="360" w:lineRule="auto"/>
        <w:jc w:val="both"/>
        <w:rPr>
          <w:rFonts w:ascii="David" w:hAnsi="David"/>
        </w:rPr>
      </w:pPr>
    </w:p>
    <w:p w:rsidR="00E2515B" w:rsidRDefault="00E2515B" w:rsidP="009E32A8">
      <w:pPr>
        <w:pStyle w:val="aa"/>
        <w:numPr>
          <w:ilvl w:val="0"/>
          <w:numId w:val="1"/>
        </w:numPr>
        <w:spacing w:line="360" w:lineRule="auto"/>
        <w:jc w:val="both"/>
        <w:rPr>
          <w:rFonts w:ascii="David" w:hAnsi="David"/>
          <w:rtl/>
        </w:rPr>
      </w:pPr>
      <w:r>
        <w:rPr>
          <w:rFonts w:ascii="David" w:hAnsi="David"/>
          <w:rtl/>
        </w:rPr>
        <w:t xml:space="preserve">נוסף על כך, בתמ"ש 15594-04-15 דובר </w:t>
      </w:r>
      <w:r w:rsidR="009E32A8">
        <w:rPr>
          <w:rFonts w:ascii="David" w:hAnsi="David" w:hint="cs"/>
          <w:rtl/>
        </w:rPr>
        <w:t xml:space="preserve">על </w:t>
      </w:r>
      <w:r>
        <w:rPr>
          <w:rFonts w:ascii="David" w:hAnsi="David"/>
          <w:rtl/>
        </w:rPr>
        <w:t>תביעה בין בני זוג ובמקרה שלפניי מדובר בתביעת יורש והמועד למירוץ ההתיישנות מתחיל במועד פטירת המנוחה כמפורט לעיל.</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לאור האמור הטענה נדחית.</w:t>
      </w:r>
    </w:p>
    <w:p w:rsidR="00E2515B" w:rsidRDefault="00E2515B" w:rsidP="00E2515B">
      <w:pPr>
        <w:pStyle w:val="aa"/>
        <w:spacing w:line="360" w:lineRule="auto"/>
        <w:jc w:val="both"/>
        <w:rPr>
          <w:rFonts w:ascii="David" w:hAnsi="David"/>
        </w:rPr>
      </w:pPr>
    </w:p>
    <w:p w:rsidR="00E2515B" w:rsidRDefault="00E2515B" w:rsidP="00E2515B">
      <w:pPr>
        <w:spacing w:line="360" w:lineRule="auto"/>
        <w:jc w:val="both"/>
        <w:rPr>
          <w:rFonts w:ascii="David" w:hAnsi="David"/>
          <w:u w:val="single"/>
          <w:rtl/>
        </w:rPr>
      </w:pPr>
      <w:r>
        <w:rPr>
          <w:rFonts w:ascii="David" w:hAnsi="David"/>
          <w:u w:val="single"/>
          <w:rtl/>
        </w:rPr>
        <w:t>המנעות המנוחה לנקוט בהליכים מהווה ויתור/מחילה על טענותיה</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לטענת הנתבע במשך 36 שנות פירוד שבהן היו הליכים תלוים ועומדים בבית הדין, נמנעה המנוחה לנקוט הליכים לעניין הזכויות הסוציאליות של הנתבע.</w:t>
      </w:r>
    </w:p>
    <w:p w:rsidR="00E2515B" w:rsidRDefault="00E2515B" w:rsidP="00E2515B">
      <w:pPr>
        <w:pStyle w:val="aa"/>
        <w:spacing w:line="360" w:lineRule="auto"/>
        <w:ind w:left="360"/>
        <w:jc w:val="both"/>
        <w:rPr>
          <w:rFonts w:ascii="David" w:hAnsi="David"/>
        </w:rPr>
      </w:pPr>
    </w:p>
    <w:p w:rsidR="00E2515B" w:rsidRDefault="00E2515B" w:rsidP="00E2515B">
      <w:pPr>
        <w:pStyle w:val="aa"/>
        <w:numPr>
          <w:ilvl w:val="0"/>
          <w:numId w:val="1"/>
        </w:numPr>
        <w:spacing w:line="360" w:lineRule="auto"/>
        <w:jc w:val="both"/>
        <w:rPr>
          <w:rFonts w:ascii="David" w:hAnsi="David"/>
        </w:rPr>
      </w:pPr>
      <w:r>
        <w:rPr>
          <w:rFonts w:ascii="David" w:hAnsi="David"/>
          <w:rtl/>
        </w:rPr>
        <w:t>דין הטענה להידחות. על-פי הפסיקה, "...</w:t>
      </w:r>
      <w:r>
        <w:rPr>
          <w:rFonts w:ascii="David" w:hAnsi="David"/>
          <w:i/>
          <w:iCs/>
          <w:rtl/>
        </w:rPr>
        <w:t>קיימים מקרים שבהם מן הראוי לאפשר ליורשים לפנות לבית המשפט בבקשה להפעיל את הלכת השיתוף, אף-על-פי שבן הזוג עצמו לא גילה בחייו דעתו כי הוא מעוניין במימושה...</w:t>
      </w:r>
      <w:r>
        <w:rPr>
          <w:rFonts w:ascii="David" w:hAnsi="David"/>
          <w:rtl/>
        </w:rPr>
        <w:t xml:space="preserve">" </w:t>
      </w:r>
      <w:r>
        <w:rPr>
          <w:rFonts w:ascii="David" w:hAnsi="David"/>
          <w:b/>
          <w:bCs/>
          <w:rtl/>
        </w:rPr>
        <w:t>ראו</w:t>
      </w:r>
      <w:r w:rsidR="00356F0A">
        <w:rPr>
          <w:rFonts w:ascii="David" w:hAnsi="David"/>
          <w:rtl/>
        </w:rPr>
        <w:t>:</w:t>
      </w:r>
      <w:r>
        <w:rPr>
          <w:rFonts w:ascii="David" w:hAnsi="David"/>
        </w:rPr>
        <w:t xml:space="preserve"> </w:t>
      </w:r>
      <w:r>
        <w:rPr>
          <w:rFonts w:ascii="David" w:hAnsi="David"/>
          <w:rtl/>
        </w:rPr>
        <w:t xml:space="preserve">ע"א 5774/91 </w:t>
      </w:r>
      <w:r>
        <w:rPr>
          <w:rFonts w:ascii="David" w:hAnsi="David"/>
          <w:b/>
          <w:bCs/>
          <w:rtl/>
        </w:rPr>
        <w:t>מרים יהלום נ' מנהל מס שבח מקרקעין בחיפה</w:t>
      </w:r>
      <w:r>
        <w:rPr>
          <w:rFonts w:ascii="David" w:hAnsi="David"/>
          <w:rtl/>
        </w:rPr>
        <w:t>, פ"ד מח(3) 372 (1994).</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מעבר לכך, נקבע כי "</w:t>
      </w:r>
      <w:r>
        <w:rPr>
          <w:rFonts w:ascii="David" w:hAnsi="David"/>
          <w:i/>
          <w:iCs/>
          <w:rtl/>
        </w:rPr>
        <w:t>ככלל, ניתן להתיר ליורשי בני זוג לטעון ולהוכיח גם את הנטען בכאן גם כאשר חלף זמן רב מיום פטירת המנוחה (וראה למשל: ה"פ (י-ם) 76/91, שריג נ' מדינת ישראל, תשנ(2) 289 {פמ"מ – [פורסם בנבו] 30/12/1991}</w:t>
      </w:r>
      <w:r>
        <w:rPr>
          <w:rFonts w:ascii="David" w:hAnsi="David"/>
          <w:rtl/>
        </w:rPr>
        <w:t xml:space="preserve">" </w:t>
      </w:r>
      <w:r>
        <w:rPr>
          <w:rFonts w:ascii="David" w:hAnsi="David"/>
          <w:b/>
          <w:bCs/>
          <w:rtl/>
        </w:rPr>
        <w:t>ראו</w:t>
      </w:r>
      <w:r>
        <w:rPr>
          <w:rFonts w:ascii="David" w:hAnsi="David"/>
          <w:rtl/>
        </w:rPr>
        <w:t xml:space="preserve">: תמ"ש 12532-05-20 </w:t>
      </w:r>
      <w:r>
        <w:rPr>
          <w:rFonts w:ascii="David" w:hAnsi="David"/>
          <w:b/>
          <w:bCs/>
          <w:rtl/>
        </w:rPr>
        <w:t xml:space="preserve">פ. נ' ד. </w:t>
      </w:r>
      <w:r>
        <w:rPr>
          <w:rFonts w:ascii="David" w:hAnsi="David"/>
          <w:rtl/>
        </w:rPr>
        <w:t>(27.12.2022).</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לפיכך, העובדה כי המנוחה לא הגישה כל תביעה כנגד הנתבע בעניין רכושו, איננה מהווה עילה לסילוק התביעה על הסף. </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בבחינת למעלה מן הצורך יצוין כי במסגרת תביעת גירושין כרוכה שהגיש הנתבע לבית הדין הרבני, עתר הוא עצמו, באותה העת לפחות "לפסוק כי המטלטלין והרכוש לרבות דירת בני הזוג יחולקו בין בני הזוג שווה בשווה" </w:t>
      </w:r>
      <w:r>
        <w:rPr>
          <w:rFonts w:ascii="David" w:hAnsi="David"/>
          <w:b/>
          <w:bCs/>
          <w:rtl/>
        </w:rPr>
        <w:t>ראו: ס' 13 ב' לתביעת הגירושין נספח 4 לבקשה</w:t>
      </w:r>
      <w:r>
        <w:rPr>
          <w:rFonts w:ascii="David" w:hAnsi="David"/>
          <w:rtl/>
        </w:rPr>
        <w:t xml:space="preserve"> ועל זכויותיו של הנתבע אף הוטל עיקול זמני </w:t>
      </w:r>
      <w:r>
        <w:rPr>
          <w:rFonts w:ascii="David" w:hAnsi="David"/>
          <w:b/>
          <w:bCs/>
          <w:rtl/>
        </w:rPr>
        <w:t>ראו: נספח 5 לבקשה</w:t>
      </w:r>
      <w:r>
        <w:rPr>
          <w:rFonts w:ascii="David" w:hAnsi="David"/>
          <w:rtl/>
        </w:rPr>
        <w:t>.</w:t>
      </w:r>
    </w:p>
    <w:p w:rsidR="00E2515B" w:rsidRDefault="00E2515B" w:rsidP="00E2515B">
      <w:pPr>
        <w:spacing w:line="360" w:lineRule="auto"/>
        <w:jc w:val="both"/>
        <w:rPr>
          <w:rFonts w:ascii="David" w:hAnsi="David"/>
          <w:u w:val="single"/>
          <w:rtl/>
        </w:rPr>
      </w:pPr>
      <w:r>
        <w:rPr>
          <w:rFonts w:ascii="David" w:hAnsi="David"/>
          <w:u w:val="single"/>
          <w:rtl/>
        </w:rPr>
        <w:lastRenderedPageBreak/>
        <w:t>אין לתובעת טענה לשיתוף ביחס לתקופה שממועד הפירוד ועד למועד פטירת המנוח</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מבלי להביע עמדה בסוגיה זו בשלב זה, דין הטענה להידחות. במסגרת כתב התביעה, עתרה התובעת, בין היתר, "לקבוע את מצבת נכסי בני הזוג" </w:t>
      </w:r>
      <w:r>
        <w:rPr>
          <w:rFonts w:ascii="David" w:hAnsi="David"/>
          <w:b/>
          <w:bCs/>
          <w:rtl/>
        </w:rPr>
        <w:t>ראו: ס' 13 א. לכתב התביעה</w:t>
      </w:r>
      <w:r>
        <w:rPr>
          <w:rFonts w:ascii="David" w:hAnsi="David"/>
          <w:rtl/>
        </w:rPr>
        <w:t xml:space="preserve"> וזאת בהתאם לדין וההלכות החלות על מערכת הנישואין של בני הזוג </w:t>
      </w:r>
      <w:r>
        <w:rPr>
          <w:rFonts w:ascii="David" w:hAnsi="David"/>
          <w:b/>
          <w:bCs/>
          <w:rtl/>
        </w:rPr>
        <w:t>ראו: ס' 13 ו. לכתב התביעה</w:t>
      </w:r>
      <w:r>
        <w:rPr>
          <w:rFonts w:ascii="David" w:hAnsi="David"/>
          <w:rtl/>
        </w:rPr>
        <w:t xml:space="preserve">. בתוך כך, ולאור עתירה זו של התובעת, לא ניתן לבוא ולומר כי אין לה סיכוי ולו קלוש להצליח בתביעתה וכי יש לסלק את התביעה על הסף </w:t>
      </w:r>
      <w:r>
        <w:rPr>
          <w:rFonts w:ascii="David" w:hAnsi="David"/>
          <w:b/>
          <w:bCs/>
          <w:rtl/>
        </w:rPr>
        <w:t>ראו</w:t>
      </w:r>
      <w:r>
        <w:rPr>
          <w:rFonts w:ascii="David" w:hAnsi="David"/>
          <w:rtl/>
        </w:rPr>
        <w:t xml:space="preserve">: רע"א 6340/19 </w:t>
      </w:r>
      <w:r>
        <w:rPr>
          <w:rFonts w:ascii="David" w:hAnsi="David"/>
          <w:b/>
          <w:bCs/>
          <w:rtl/>
        </w:rPr>
        <w:t>טאבטייל בע"מ נ' קושניר</w:t>
      </w:r>
      <w:r>
        <w:rPr>
          <w:rFonts w:ascii="David" w:hAnsi="David"/>
          <w:rtl/>
        </w:rPr>
        <w:t xml:space="preserve"> (25.2.2020).</w:t>
      </w:r>
    </w:p>
    <w:p w:rsidR="00E2515B" w:rsidRDefault="00E2515B" w:rsidP="00E2515B">
      <w:pPr>
        <w:pStyle w:val="aa"/>
        <w:spacing w:line="360" w:lineRule="auto"/>
        <w:ind w:left="360"/>
        <w:jc w:val="both"/>
        <w:rPr>
          <w:rFonts w:ascii="David" w:hAnsi="David"/>
        </w:rPr>
      </w:pPr>
    </w:p>
    <w:p w:rsidR="00E2515B" w:rsidRDefault="00E2515B" w:rsidP="00E2515B">
      <w:pPr>
        <w:pStyle w:val="aa"/>
        <w:numPr>
          <w:ilvl w:val="0"/>
          <w:numId w:val="1"/>
        </w:numPr>
        <w:spacing w:line="360" w:lineRule="auto"/>
        <w:jc w:val="both"/>
        <w:rPr>
          <w:rFonts w:ascii="David" w:hAnsi="David"/>
        </w:rPr>
      </w:pPr>
      <w:r>
        <w:rPr>
          <w:rFonts w:ascii="David" w:hAnsi="David"/>
          <w:rtl/>
        </w:rPr>
        <w:t>לאור האמור הטענה נדחית.</w:t>
      </w:r>
    </w:p>
    <w:p w:rsidR="00E2515B" w:rsidRDefault="00E2515B" w:rsidP="00E2515B">
      <w:pPr>
        <w:pStyle w:val="aa"/>
        <w:spacing w:line="360" w:lineRule="auto"/>
        <w:jc w:val="both"/>
        <w:rPr>
          <w:rFonts w:ascii="David" w:hAnsi="David"/>
        </w:rPr>
      </w:pPr>
    </w:p>
    <w:p w:rsidR="00E2515B" w:rsidRDefault="00E2515B" w:rsidP="00E2515B">
      <w:pPr>
        <w:spacing w:line="360" w:lineRule="auto"/>
        <w:jc w:val="both"/>
        <w:rPr>
          <w:rFonts w:ascii="David" w:hAnsi="David"/>
          <w:u w:val="single"/>
          <w:rtl/>
        </w:rPr>
      </w:pPr>
      <w:r>
        <w:rPr>
          <w:rFonts w:ascii="David" w:hAnsi="David"/>
          <w:u w:val="single"/>
          <w:rtl/>
        </w:rPr>
        <w:t>חוסר תום לב בניהול ההליכים</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לטענת הנתבע, התביעה הוגשה בחוסר תום לב והוסתרה במכוון מהנתבע במהלך הליך הגישור שהתנהל במסגרת מהו"ת. </w:t>
      </w:r>
    </w:p>
    <w:p w:rsidR="00E2515B" w:rsidRDefault="00E2515B" w:rsidP="00E2515B">
      <w:pPr>
        <w:pStyle w:val="aa"/>
        <w:spacing w:line="360" w:lineRule="auto"/>
        <w:ind w:left="360"/>
        <w:jc w:val="both"/>
        <w:rPr>
          <w:rFonts w:ascii="David" w:hAnsi="David"/>
        </w:rPr>
      </w:pPr>
    </w:p>
    <w:p w:rsidR="00E2515B" w:rsidRDefault="00E2515B" w:rsidP="00E2515B">
      <w:pPr>
        <w:pStyle w:val="aa"/>
        <w:numPr>
          <w:ilvl w:val="0"/>
          <w:numId w:val="1"/>
        </w:numPr>
        <w:spacing w:line="360" w:lineRule="auto"/>
        <w:jc w:val="both"/>
        <w:rPr>
          <w:rFonts w:ascii="David" w:hAnsi="David"/>
        </w:rPr>
      </w:pPr>
      <w:r>
        <w:rPr>
          <w:rFonts w:ascii="David" w:hAnsi="David"/>
          <w:rtl/>
        </w:rPr>
        <w:t xml:space="preserve">דין הטענה להידחות. בין אם נכונה טענה זו של הנתבע ובין אם לאו – ואיני קובע מסמרות בעניין זה לכאן או לכאן – איני מוצא מקום לסלק את התביעה על הסף בשל חוסר תום הלב הנטען של התובעת, זאת משעה שסילוקה של תביעה על הסף היא אמצעי דיוני קיצוני, הננקט בזהירות יתרה ובמקרים חריגים </w:t>
      </w:r>
      <w:r>
        <w:rPr>
          <w:rFonts w:ascii="David" w:hAnsi="David"/>
          <w:b/>
          <w:bCs/>
          <w:rtl/>
        </w:rPr>
        <w:t>ראו</w:t>
      </w:r>
      <w:r>
        <w:rPr>
          <w:rFonts w:ascii="David" w:hAnsi="David"/>
          <w:rtl/>
        </w:rPr>
        <w:t xml:space="preserve">: רע"א 4890/16 </w:t>
      </w:r>
      <w:r>
        <w:rPr>
          <w:rFonts w:ascii="David" w:hAnsi="David"/>
          <w:b/>
          <w:bCs/>
          <w:rtl/>
        </w:rPr>
        <w:t>טריניטי מערכות מחשוב בע"מ נ' הוצאה מוכרת בע"מ</w:t>
      </w:r>
      <w:r>
        <w:rPr>
          <w:rFonts w:ascii="David" w:hAnsi="David"/>
          <w:rtl/>
        </w:rPr>
        <w:t>, (22.8.2016).</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 xml:space="preserve">יצוין גם כי במקרים בהם הייתה הצדקה לסלק תביעה על הסף מחמת חוסר תום לב, צוין כי יש לעשות זאת במקרים חריגים בלבד </w:t>
      </w:r>
      <w:r>
        <w:rPr>
          <w:rFonts w:ascii="David" w:hAnsi="David"/>
          <w:b/>
          <w:bCs/>
          <w:rtl/>
        </w:rPr>
        <w:t xml:space="preserve">ראו: </w:t>
      </w:r>
      <w:r>
        <w:rPr>
          <w:rFonts w:ascii="David" w:hAnsi="David"/>
          <w:noProof w:val="0"/>
          <w:rtl/>
        </w:rPr>
        <w:t>תלה"מ 35918-01-21</w:t>
      </w:r>
      <w:r>
        <w:rPr>
          <w:rFonts w:ascii="David" w:hAnsi="David"/>
          <w:b/>
          <w:bCs/>
          <w:noProof w:val="0"/>
          <w:rtl/>
        </w:rPr>
        <w:t xml:space="preserve"> פלוני נ' פלונית</w:t>
      </w:r>
      <w:r>
        <w:rPr>
          <w:rFonts w:ascii="David" w:hAnsi="David"/>
          <w:rtl/>
        </w:rPr>
        <w:t xml:space="preserve"> (5.4.2021).</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לאור האמור הטענה נדחית.</w:t>
      </w:r>
    </w:p>
    <w:p w:rsidR="00E2515B" w:rsidRDefault="00E2515B" w:rsidP="00E2515B">
      <w:pPr>
        <w:pStyle w:val="aa"/>
        <w:spacing w:line="360" w:lineRule="auto"/>
        <w:jc w:val="both"/>
        <w:rPr>
          <w:rFonts w:ascii="David" w:hAnsi="David"/>
        </w:rPr>
      </w:pPr>
    </w:p>
    <w:p w:rsidR="00E2515B" w:rsidRDefault="00E2515B" w:rsidP="00E2515B">
      <w:pPr>
        <w:pStyle w:val="aa"/>
        <w:numPr>
          <w:ilvl w:val="0"/>
          <w:numId w:val="1"/>
        </w:numPr>
        <w:spacing w:line="360" w:lineRule="auto"/>
        <w:jc w:val="both"/>
        <w:rPr>
          <w:rFonts w:ascii="David" w:hAnsi="David"/>
          <w:rtl/>
        </w:rPr>
      </w:pPr>
      <w:r>
        <w:rPr>
          <w:rFonts w:ascii="David" w:hAnsi="David"/>
          <w:rtl/>
        </w:rPr>
        <w:t>התוצאה היא כי הבקשה נדחית כאשר אין בדחיית הבקשה כדי להביע דעה, לכאן או לכאן, ביחס לסיכויי התביעה.</w:t>
      </w:r>
    </w:p>
    <w:p w:rsidR="00E2515B" w:rsidRDefault="00E2515B" w:rsidP="00E2515B">
      <w:pPr>
        <w:pStyle w:val="aa"/>
        <w:spacing w:line="360" w:lineRule="auto"/>
        <w:jc w:val="both"/>
        <w:rPr>
          <w:rFonts w:ascii="David" w:hAnsi="David"/>
        </w:rPr>
      </w:pPr>
    </w:p>
    <w:p w:rsidR="00E2515B" w:rsidRDefault="00E2515B" w:rsidP="00C62F0D">
      <w:pPr>
        <w:pStyle w:val="aa"/>
        <w:numPr>
          <w:ilvl w:val="0"/>
          <w:numId w:val="1"/>
        </w:numPr>
        <w:spacing w:line="360" w:lineRule="auto"/>
        <w:jc w:val="both"/>
        <w:rPr>
          <w:rFonts w:ascii="David" w:hAnsi="David"/>
        </w:rPr>
      </w:pPr>
      <w:r>
        <w:rPr>
          <w:rFonts w:ascii="David" w:hAnsi="David"/>
          <w:rtl/>
        </w:rPr>
        <w:t>משלא נתבקשה תגובה, איני עושה צו להוצאות.</w:t>
      </w:r>
    </w:p>
    <w:p w:rsidR="00C62F0D" w:rsidRPr="00C62F0D" w:rsidRDefault="00C62F0D" w:rsidP="00C62F0D">
      <w:pPr>
        <w:pStyle w:val="aa"/>
        <w:rPr>
          <w:rFonts w:ascii="David" w:hAnsi="David"/>
          <w:rtl/>
        </w:rPr>
      </w:pPr>
    </w:p>
    <w:p w:rsidR="00C62F0D" w:rsidRDefault="00C62F0D" w:rsidP="00C62F0D">
      <w:pPr>
        <w:pStyle w:val="aa"/>
        <w:numPr>
          <w:ilvl w:val="0"/>
          <w:numId w:val="1"/>
        </w:numPr>
        <w:spacing w:line="360" w:lineRule="auto"/>
        <w:jc w:val="both"/>
        <w:rPr>
          <w:rFonts w:ascii="David" w:hAnsi="David"/>
        </w:rPr>
      </w:pPr>
      <w:r w:rsidRPr="00C62F0D">
        <w:rPr>
          <w:rFonts w:ascii="David" w:hAnsi="David" w:hint="cs"/>
          <w:rtl/>
        </w:rPr>
        <w:t>אני מתיר את פרסו</w:t>
      </w:r>
      <w:r w:rsidR="009E32A8">
        <w:rPr>
          <w:rFonts w:ascii="David" w:hAnsi="David" w:hint="cs"/>
          <w:rtl/>
        </w:rPr>
        <w:t>ם ההחלטה לאחר השמטת פרטים מזהים ותיקוני הגהה.</w:t>
      </w:r>
    </w:p>
    <w:p w:rsidR="00C62F0D" w:rsidRPr="00C62F0D" w:rsidRDefault="00C62F0D" w:rsidP="00C62F0D">
      <w:pPr>
        <w:pStyle w:val="aa"/>
        <w:rPr>
          <w:rFonts w:ascii="David" w:hAnsi="David"/>
          <w:rtl/>
        </w:rPr>
      </w:pPr>
    </w:p>
    <w:p w:rsidR="00C62F0D" w:rsidRDefault="00C62F0D" w:rsidP="00C62F0D">
      <w:pPr>
        <w:spacing w:line="360" w:lineRule="auto"/>
        <w:jc w:val="both"/>
        <w:rPr>
          <w:rFonts w:ascii="David" w:hAnsi="David"/>
          <w:rtl/>
        </w:rPr>
      </w:pPr>
    </w:p>
    <w:p w:rsidR="00C62F0D" w:rsidRPr="00C62F0D" w:rsidRDefault="00C62F0D" w:rsidP="00C62F0D">
      <w:pPr>
        <w:spacing w:line="360" w:lineRule="auto"/>
        <w:jc w:val="both"/>
        <w:rPr>
          <w:rFonts w:ascii="David" w:hAnsi="David"/>
          <w:rtl/>
        </w:rPr>
      </w:pPr>
    </w:p>
    <w:p w:rsidR="00E2515B" w:rsidRDefault="00E2515B" w:rsidP="00E2515B">
      <w:pPr>
        <w:spacing w:line="360" w:lineRule="auto"/>
        <w:jc w:val="both"/>
        <w:rPr>
          <w:rFonts w:ascii="David" w:hAnsi="David"/>
          <w:rtl/>
        </w:rPr>
      </w:pPr>
    </w:p>
    <w:p w:rsidR="00E2515B" w:rsidRDefault="00E2515B" w:rsidP="00E2515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356F0A">
        <w:rPr>
          <w:rFonts w:ascii="Arial" w:hAnsi="Arial"/>
          <w:noProof w:val="0"/>
          <w:rtl/>
        </w:rPr>
        <w:t xml:space="preserve"> היום,</w:t>
      </w:r>
      <w:r>
        <w:rPr>
          <w:rFonts w:ascii="Arial" w:hAnsi="Arial"/>
          <w:noProof w:val="0"/>
          <w:rtl/>
        </w:rPr>
        <w:t xml:space="preserve"> </w:t>
      </w:r>
      <w:sdt>
        <w:sdtPr>
          <w:rPr>
            <w:rtl/>
          </w:rPr>
          <w:alias w:val="1455"/>
          <w:tag w:val="1455"/>
          <w:id w:val="1321697131"/>
          <w:text w:multiLine="1"/>
        </w:sdtPr>
        <w:sdtEndPr/>
        <w:sdtContent>
          <w:r>
            <w:rPr>
              <w:rFonts w:ascii="Arial" w:hAnsi="Arial"/>
              <w:noProof w:val="0"/>
              <w:rtl/>
            </w:rPr>
            <w:t>ט"ו כסלו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28 נובמבר 2023</w:t>
          </w:r>
        </w:sdtContent>
      </w:sdt>
      <w:r>
        <w:rPr>
          <w:rFonts w:ascii="Arial" w:hAnsi="Arial"/>
          <w:noProof w:val="0"/>
          <w:rtl/>
        </w:rPr>
        <w:t>, בהעדר הצדדים.</w:t>
      </w:r>
    </w:p>
    <w:p w:rsidR="00E2515B" w:rsidRDefault="00E2515B" w:rsidP="00E2515B">
      <w:pPr>
        <w:spacing w:line="360" w:lineRule="auto"/>
        <w:jc w:val="center"/>
        <w:rPr>
          <w:rFonts w:ascii="Arial" w:hAnsi="Arial"/>
          <w:noProof w:val="0"/>
          <w:rtl/>
        </w:rPr>
      </w:pPr>
    </w:p>
    <w:p w:rsidR="00232225" w:rsidRDefault="00E2515B" w:rsidP="00E2515B">
      <w:pPr>
        <w:spacing w:line="360" w:lineRule="auto"/>
        <w:jc w:val="center"/>
      </w:pPr>
      <w:r>
        <w:rPr>
          <w:rFonts w:ascii="Arial" w:hAnsi="Arial"/>
          <w:noProof w:val="0"/>
          <w:rtl/>
        </w:rPr>
        <w:tab/>
      </w:r>
      <w:r>
        <w:rPr>
          <w:rFonts w:ascii="Arial" w:hAnsi="Arial"/>
          <w:noProof w:val="0"/>
          <w:rtl/>
        </w:rPr>
        <w:tab/>
      </w:r>
      <w:sdt>
        <w:sdtPr>
          <w:rPr>
            <w:rtl/>
          </w:rPr>
          <w:alias w:val="MergeField"/>
          <w:tag w:val="1237"/>
          <w:id w:val="-362129010"/>
        </w:sdtPr>
        <w:sdtEndPr/>
        <w:sdtContent>
          <w:r>
            <w:drawing>
              <wp:inline distT="0" distB="0" distL="0" distR="0" wp14:anchorId="1432F0E7" wp14:editId="01507E7A">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28800" cy="733425"/>
                        </a:xfrm>
                        <a:prstGeom prst="rect">
                          <a:avLst/>
                        </a:prstGeom>
                      </pic:spPr>
                    </pic:pic>
                  </a:graphicData>
                </a:graphic>
              </wp:inline>
            </w:drawing>
          </w:r>
        </w:sdtContent>
      </w:sdt>
    </w:p>
    <w:sectPr w:rsidR="00232225" w:rsidSect="009D0F83">
      <w:headerReference w:type="default" r:id="rId9"/>
      <w:footerReference w:type="default" r:id="rId10"/>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177" w:rsidRDefault="00C31177" w:rsidP="006805ED">
      <w:r>
        <w:separator/>
      </w:r>
    </w:p>
  </w:endnote>
  <w:endnote w:type="continuationSeparator" w:id="0">
    <w:p w:rsidR="00C31177" w:rsidRDefault="00C31177" w:rsidP="0068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96A93">
    <w:pPr>
      <w:pStyle w:val="a5"/>
      <w:jc w:val="center"/>
      <w:rPr>
        <w:rStyle w:val="a8"/>
      </w:rPr>
    </w:pPr>
    <w:r>
      <w:rPr>
        <w:rStyle w:val="a8"/>
      </w:rPr>
      <w:fldChar w:fldCharType="begin"/>
    </w:r>
    <w:r>
      <w:rPr>
        <w:rStyle w:val="a8"/>
      </w:rPr>
      <w:instrText xml:space="preserve"> PAGE </w:instrText>
    </w:r>
    <w:r>
      <w:rPr>
        <w:rStyle w:val="a8"/>
      </w:rPr>
      <w:fldChar w:fldCharType="separate"/>
    </w:r>
    <w:r w:rsidR="009E26A6">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9E26A6">
      <w:rPr>
        <w:rStyle w:val="a8"/>
        <w:rtl/>
      </w:rPr>
      <w:t>5</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177" w:rsidRDefault="00C31177" w:rsidP="006805ED">
      <w:r>
        <w:separator/>
      </w:r>
    </w:p>
  </w:footnote>
  <w:footnote w:type="continuationSeparator" w:id="0">
    <w:p w:rsidR="00C31177" w:rsidRDefault="00C31177" w:rsidP="00680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96A93">
    <w:pPr>
      <w:pStyle w:val="a3"/>
      <w:jc w:val="center"/>
      <w:rPr>
        <w:rFonts w:cs="FrankRuehl"/>
        <w:noProof w:val="0"/>
        <w:sz w:val="28"/>
        <w:szCs w:val="28"/>
        <w:rtl/>
      </w:rPr>
    </w:pPr>
    <w:r>
      <w:rPr>
        <w:rFonts w:cs="FrankRuehl"/>
        <w:sz w:val="28"/>
        <w:szCs w:val="28"/>
      </w:rPr>
      <w:drawing>
        <wp:inline distT="0" distB="0" distL="0" distR="0" wp14:anchorId="4B4C3555" wp14:editId="45A6CBB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996A9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C31177">
          <w:pPr>
            <w:rPr>
              <w:b/>
              <w:bCs/>
              <w:noProof w:val="0"/>
              <w:sz w:val="26"/>
              <w:szCs w:val="26"/>
              <w:rtl/>
            </w:rPr>
          </w:pPr>
        </w:p>
      </w:tc>
      <w:sdt>
        <w:sdtPr>
          <w:rPr>
            <w:rtl/>
          </w:rPr>
          <w:alias w:val="1456"/>
          <w:tag w:val="1456"/>
          <w:id w:val="-1143425472"/>
          <w:text/>
        </w:sdtPr>
        <w:sdtEndPr/>
        <w:sdtContent>
          <w:tc>
            <w:tcPr>
              <w:tcW w:w="3674" w:type="dxa"/>
            </w:tcPr>
            <w:p w:rsidR="002914D6" w:rsidRDefault="00996A93">
              <w:pPr>
                <w:pStyle w:val="a3"/>
                <w:jc w:val="right"/>
                <w:rPr>
                  <w:b/>
                  <w:bCs/>
                  <w:noProof w:val="0"/>
                  <w:sz w:val="26"/>
                  <w:szCs w:val="26"/>
                  <w:rtl/>
                </w:rPr>
              </w:pPr>
              <w:r>
                <w:rPr>
                  <w:b/>
                  <w:bCs/>
                  <w:noProof w:val="0"/>
                  <w:sz w:val="26"/>
                  <w:szCs w:val="26"/>
                  <w:rtl/>
                </w:rPr>
                <w:t>28 נובמבר 2023</w:t>
              </w:r>
            </w:p>
          </w:tc>
        </w:sdtContent>
      </w:sdt>
    </w:tr>
    <w:tr w:rsidR="002914D6">
      <w:trPr>
        <w:trHeight w:val="337"/>
        <w:jc w:val="center"/>
      </w:trPr>
      <w:tc>
        <w:tcPr>
          <w:tcW w:w="8721" w:type="dxa"/>
          <w:gridSpan w:val="2"/>
        </w:tcPr>
        <w:p w:rsidR="002914D6" w:rsidRDefault="00C31177" w:rsidP="006805ED">
          <w:pPr>
            <w:rPr>
              <w:b/>
              <w:bCs/>
              <w:noProof w:val="0"/>
              <w:sz w:val="26"/>
              <w:szCs w:val="26"/>
              <w:rtl/>
            </w:rPr>
          </w:pPr>
          <w:sdt>
            <w:sdtPr>
              <w:rPr>
                <w:rtl/>
              </w:rPr>
              <w:alias w:val="1170"/>
              <w:tag w:val="1170"/>
              <w:id w:val="632838173"/>
              <w:text w:multiLine="1"/>
            </w:sdtPr>
            <w:sdtEndPr/>
            <w:sdtContent>
              <w:r w:rsidR="00996A93">
                <w:rPr>
                  <w:b/>
                  <w:bCs/>
                  <w:noProof w:val="0"/>
                  <w:sz w:val="26"/>
                  <w:szCs w:val="26"/>
                  <w:rtl/>
                </w:rPr>
                <w:t>תמ"ש</w:t>
              </w:r>
            </w:sdtContent>
          </w:sdt>
          <w:r w:rsidR="00996A93">
            <w:rPr>
              <w:b/>
              <w:bCs/>
              <w:noProof w:val="0"/>
              <w:sz w:val="26"/>
              <w:szCs w:val="26"/>
              <w:rtl/>
            </w:rPr>
            <w:t xml:space="preserve"> </w:t>
          </w:r>
          <w:sdt>
            <w:sdtPr>
              <w:rPr>
                <w:rtl/>
              </w:rPr>
              <w:alias w:val="1171"/>
              <w:tag w:val="1171"/>
              <w:id w:val="-1684506308"/>
              <w:text w:multiLine="1"/>
            </w:sdtPr>
            <w:sdtEndPr/>
            <w:sdtContent>
              <w:r w:rsidR="00996A93">
                <w:rPr>
                  <w:b/>
                  <w:bCs/>
                  <w:noProof w:val="0"/>
                  <w:sz w:val="26"/>
                  <w:szCs w:val="26"/>
                  <w:rtl/>
                </w:rPr>
                <w:t>44567-10-23</w:t>
              </w:r>
            </w:sdtContent>
          </w:sdt>
          <w:r w:rsidR="00996A93">
            <w:rPr>
              <w:b/>
              <w:bCs/>
              <w:noProof w:val="0"/>
              <w:sz w:val="26"/>
              <w:szCs w:val="26"/>
              <w:rtl/>
            </w:rPr>
            <w:t xml:space="preserve"> </w:t>
          </w:r>
          <w:sdt>
            <w:sdtPr>
              <w:rPr>
                <w:rtl/>
              </w:rPr>
              <w:alias w:val="1172"/>
              <w:tag w:val="1172"/>
              <w:id w:val="1484202908"/>
              <w:text w:multiLine="1"/>
            </w:sdtPr>
            <w:sdtEndPr/>
            <w:sdtContent>
              <w:r w:rsidR="006805ED">
                <w:rPr>
                  <w:rFonts w:hint="cs"/>
                  <w:b/>
                  <w:bCs/>
                  <w:noProof w:val="0"/>
                  <w:sz w:val="26"/>
                  <w:szCs w:val="26"/>
                  <w:rtl/>
                </w:rPr>
                <w:t>פלונית</w:t>
              </w:r>
              <w:r w:rsidR="00996A93">
                <w:rPr>
                  <w:b/>
                  <w:bCs/>
                  <w:noProof w:val="0"/>
                  <w:sz w:val="26"/>
                  <w:szCs w:val="26"/>
                  <w:rtl/>
                </w:rPr>
                <w:t xml:space="preserve"> נ' </w:t>
              </w:r>
              <w:r w:rsidR="006805ED">
                <w:rPr>
                  <w:rFonts w:hint="cs"/>
                  <w:b/>
                  <w:bCs/>
                  <w:noProof w:val="0"/>
                  <w:sz w:val="26"/>
                  <w:szCs w:val="26"/>
                  <w:rtl/>
                </w:rPr>
                <w:t>פלוני</w:t>
              </w:r>
            </w:sdtContent>
          </w:sdt>
        </w:p>
        <w:p w:rsidR="002914D6" w:rsidRDefault="00C31177">
          <w:pPr>
            <w:rPr>
              <w:rtl/>
            </w:rPr>
          </w:pPr>
        </w:p>
        <w:p w:rsidR="00C41F37" w:rsidRDefault="00C31177">
          <w:pPr>
            <w:rPr>
              <w:rtl/>
            </w:rPr>
          </w:pPr>
        </w:p>
      </w:tc>
    </w:tr>
  </w:tbl>
  <w:p w:rsidR="002914D6" w:rsidRDefault="00996A93">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B7915"/>
    <w:multiLevelType w:val="hybridMultilevel"/>
    <w:tmpl w:val="EF9E41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15B"/>
    <w:rsid w:val="00001B07"/>
    <w:rsid w:val="0004398E"/>
    <w:rsid w:val="000A0374"/>
    <w:rsid w:val="000D7133"/>
    <w:rsid w:val="00183573"/>
    <w:rsid w:val="00232225"/>
    <w:rsid w:val="00237501"/>
    <w:rsid w:val="002C3DC6"/>
    <w:rsid w:val="00356F0A"/>
    <w:rsid w:val="004B1700"/>
    <w:rsid w:val="005A6ADF"/>
    <w:rsid w:val="0062760E"/>
    <w:rsid w:val="006805ED"/>
    <w:rsid w:val="006C3784"/>
    <w:rsid w:val="00996651"/>
    <w:rsid w:val="00996A93"/>
    <w:rsid w:val="009E26A6"/>
    <w:rsid w:val="009E32A8"/>
    <w:rsid w:val="009F244E"/>
    <w:rsid w:val="00A53DC5"/>
    <w:rsid w:val="00A84ED9"/>
    <w:rsid w:val="00AB6737"/>
    <w:rsid w:val="00C31177"/>
    <w:rsid w:val="00C62F0D"/>
    <w:rsid w:val="00DB4206"/>
    <w:rsid w:val="00E2515B"/>
    <w:rsid w:val="00EA5FF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E6C9DC-B6AE-46DC-A020-39DB3F5D2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5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2515B"/>
    <w:pPr>
      <w:tabs>
        <w:tab w:val="center" w:pos="4153"/>
        <w:tab w:val="right" w:pos="8306"/>
      </w:tabs>
    </w:pPr>
  </w:style>
  <w:style w:type="character" w:customStyle="1" w:styleId="a4">
    <w:name w:val="כותרת עליונה תו"/>
    <w:basedOn w:val="a0"/>
    <w:link w:val="a3"/>
    <w:rsid w:val="00E2515B"/>
    <w:rPr>
      <w:rFonts w:ascii="Times New Roman" w:eastAsia="Times New Roman" w:hAnsi="Times New Roman" w:cs="David"/>
      <w:noProof/>
      <w:sz w:val="24"/>
      <w:szCs w:val="24"/>
    </w:rPr>
  </w:style>
  <w:style w:type="paragraph" w:styleId="a5">
    <w:name w:val="footer"/>
    <w:basedOn w:val="a"/>
    <w:link w:val="a6"/>
    <w:rsid w:val="00E2515B"/>
    <w:pPr>
      <w:tabs>
        <w:tab w:val="center" w:pos="4153"/>
        <w:tab w:val="right" w:pos="8306"/>
      </w:tabs>
    </w:pPr>
  </w:style>
  <w:style w:type="character" w:customStyle="1" w:styleId="a6">
    <w:name w:val="כותרת תחתונה תו"/>
    <w:basedOn w:val="a0"/>
    <w:link w:val="a5"/>
    <w:rsid w:val="00E2515B"/>
    <w:rPr>
      <w:rFonts w:ascii="Times New Roman" w:eastAsia="Times New Roman" w:hAnsi="Times New Roman" w:cs="David"/>
      <w:noProof/>
      <w:sz w:val="24"/>
      <w:szCs w:val="24"/>
    </w:rPr>
  </w:style>
  <w:style w:type="table" w:styleId="a7">
    <w:name w:val="Table Grid"/>
    <w:basedOn w:val="a1"/>
    <w:rsid w:val="00E2515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2515B"/>
  </w:style>
  <w:style w:type="table" w:styleId="a9">
    <w:name w:val="Grid Table Light"/>
    <w:basedOn w:val="a1"/>
    <w:uiPriority w:val="40"/>
    <w:rsid w:val="00E2515B"/>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List Paragraph"/>
    <w:basedOn w:val="a"/>
    <w:uiPriority w:val="34"/>
    <w:qFormat/>
    <w:rsid w:val="00E2515B"/>
    <w:pPr>
      <w:ind w:left="720"/>
      <w:contextualSpacing/>
    </w:pPr>
  </w:style>
  <w:style w:type="character" w:styleId="ab">
    <w:name w:val="line number"/>
    <w:basedOn w:val="a0"/>
    <w:uiPriority w:val="99"/>
    <w:semiHidden/>
    <w:unhideWhenUsed/>
    <w:rsid w:val="00E2515B"/>
  </w:style>
  <w:style w:type="paragraph" w:styleId="ac">
    <w:name w:val="Balloon Text"/>
    <w:basedOn w:val="a"/>
    <w:link w:val="ad"/>
    <w:uiPriority w:val="99"/>
    <w:semiHidden/>
    <w:unhideWhenUsed/>
    <w:rsid w:val="00001B07"/>
    <w:rPr>
      <w:rFonts w:ascii="Tahoma" w:hAnsi="Tahoma" w:cs="Tahoma"/>
      <w:sz w:val="18"/>
      <w:szCs w:val="18"/>
    </w:rPr>
  </w:style>
  <w:style w:type="character" w:customStyle="1" w:styleId="ad">
    <w:name w:val="טקסט בלונים תו"/>
    <w:basedOn w:val="a0"/>
    <w:link w:val="ac"/>
    <w:uiPriority w:val="99"/>
    <w:semiHidden/>
    <w:rsid w:val="00001B07"/>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23F0-DE75-4268-8CA1-5D0772FE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961</Words>
  <Characters>4434</Characters>
  <Application>Microsoft Office Word</Application>
  <DocSecurity>0</DocSecurity>
  <Lines>147</Lines>
  <Paragraphs>59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גרמאו מנגיסטו</cp:lastModifiedBy>
  <cp:revision>2</cp:revision>
  <cp:lastPrinted>2023-12-10T10:28:00Z</cp:lastPrinted>
  <dcterms:created xsi:type="dcterms:W3CDTF">2023-12-24T07:20:00Z</dcterms:created>
  <dcterms:modified xsi:type="dcterms:W3CDTF">2023-12-24T07:20:00Z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bd9545c7b12e18f95aec4bfcfb6585aa2d6459af25d2a58c8ae2664f14bd484e</vt:lpwstr>
  </property>
</Properties>
</file>